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7CA" w:rsidRDefault="006C4224">
      <w:pPr>
        <w:rPr>
          <w:b/>
          <w:color w:val="0070C0"/>
        </w:rPr>
      </w:pPr>
      <w:r>
        <w:rPr>
          <w:b/>
          <w:noProof/>
          <w:color w:val="002060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-2328</wp:posOffset>
            </wp:positionH>
            <wp:positionV relativeFrom="paragraph">
              <wp:posOffset>-171118</wp:posOffset>
            </wp:positionV>
            <wp:extent cx="2057400" cy="67763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eseau_CRAtb_coule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191" cy="685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7CA" w:rsidRDefault="009D77CA">
      <w:pPr>
        <w:rPr>
          <w:b/>
          <w:color w:val="0070C0"/>
        </w:rPr>
      </w:pPr>
    </w:p>
    <w:p w:rsidR="009D77CA" w:rsidRDefault="00000000">
      <w:pPr>
        <w:rPr>
          <w:b/>
          <w:color w:val="002060"/>
        </w:rPr>
      </w:pPr>
      <w:r>
        <w:rPr>
          <w:b/>
          <w:color w:val="002060"/>
        </w:rPr>
        <w:t>Proposition du R-CRAtb d’un document pour prescripteur accompagnant un ECBU avec Antibiogramme ciblé selon les recommandations de bonnes pratiques de la HAS Octobre 2023</w:t>
      </w:r>
    </w:p>
    <w:p w:rsidR="009D77CA" w:rsidRDefault="00000000">
      <w:pPr>
        <w:rPr>
          <w:b/>
          <w:color w:val="002060"/>
        </w:rPr>
      </w:pPr>
      <w:r>
        <w:rPr>
          <w:b/>
          <w:color w:val="002060"/>
        </w:rPr>
        <w:t>(</w:t>
      </w:r>
      <w:proofErr w:type="gramStart"/>
      <w:r>
        <w:rPr>
          <w:b/>
          <w:color w:val="002060"/>
        </w:rPr>
        <w:t>concernant</w:t>
      </w:r>
      <w:proofErr w:type="gramEnd"/>
      <w:r>
        <w:rPr>
          <w:b/>
          <w:color w:val="002060"/>
        </w:rPr>
        <w:t xml:space="preserve"> les infections urinaires à entérobactéries chez les femmes et jeunes filles &gt; 12 ans)</w:t>
      </w:r>
    </w:p>
    <w:p w:rsidR="009D77CA" w:rsidRDefault="00000000">
      <w:r>
        <w:t>Document élaboré le 30 janvier 2025.</w:t>
      </w:r>
    </w:p>
    <w:p w:rsidR="009D77CA" w:rsidRDefault="009D77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77CA">
        <w:trPr>
          <w:trHeight w:val="1391"/>
        </w:trPr>
        <w:tc>
          <w:tcPr>
            <w:tcW w:w="4531" w:type="dxa"/>
          </w:tcPr>
          <w:p w:rsidR="009D77CA" w:rsidRDefault="00000000">
            <w:pPr>
              <w:jc w:val="center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noProof/>
              </w:rPr>
              <w:t xml:space="preserve">Identité et coordonnées du MEDECIN DEMANDEUR </w:t>
            </w:r>
            <w:r>
              <w:rPr>
                <w:b/>
                <w:bCs/>
                <w:i/>
                <w:iCs/>
                <w:noProof/>
              </w:rPr>
              <w:t>(tampon)</w:t>
            </w:r>
          </w:p>
          <w:p w:rsidR="009D77CA" w:rsidRDefault="009D77CA">
            <w:pPr>
              <w:jc w:val="center"/>
              <w:rPr>
                <w:b/>
                <w:bCs/>
                <w:noProof/>
              </w:rPr>
            </w:pPr>
          </w:p>
          <w:p w:rsidR="009D77CA" w:rsidRDefault="009D77CA">
            <w:pPr>
              <w:jc w:val="center"/>
              <w:rPr>
                <w:b/>
                <w:bCs/>
                <w:noProof/>
              </w:rPr>
            </w:pPr>
          </w:p>
          <w:p w:rsidR="009D77CA" w:rsidRDefault="009D77CA">
            <w:pPr>
              <w:jc w:val="center"/>
              <w:rPr>
                <w:b/>
                <w:bCs/>
                <w:noProof/>
              </w:rPr>
            </w:pPr>
          </w:p>
          <w:p w:rsidR="009D77CA" w:rsidRDefault="009D77CA">
            <w:pPr>
              <w:jc w:val="center"/>
              <w:rPr>
                <w:b/>
                <w:bCs/>
                <w:noProof/>
              </w:rPr>
            </w:pPr>
          </w:p>
          <w:p w:rsidR="009D77CA" w:rsidRDefault="009D77CA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4531" w:type="dxa"/>
          </w:tcPr>
          <w:p w:rsidR="009D77CA" w:rsidRDefault="0000000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IDENTITE PATIENT</w:t>
            </w:r>
          </w:p>
          <w:p w:rsidR="009D77CA" w:rsidRDefault="009D77CA">
            <w:pPr>
              <w:rPr>
                <w:noProof/>
              </w:rPr>
            </w:pPr>
          </w:p>
          <w:p w:rsidR="009D77CA" w:rsidRDefault="00000000">
            <w:pPr>
              <w:rPr>
                <w:noProof/>
              </w:rPr>
            </w:pPr>
            <w:r>
              <w:rPr>
                <w:noProof/>
              </w:rPr>
              <w:t xml:space="preserve">Nom de naissance : </w:t>
            </w:r>
          </w:p>
          <w:p w:rsidR="009D77CA" w:rsidRDefault="00000000">
            <w:pPr>
              <w:rPr>
                <w:noProof/>
              </w:rPr>
            </w:pPr>
            <w:r>
              <w:rPr>
                <w:noProof/>
              </w:rPr>
              <w:t xml:space="preserve">Prénom : </w:t>
            </w:r>
          </w:p>
          <w:p w:rsidR="009D77CA" w:rsidRDefault="00000000">
            <w:pPr>
              <w:rPr>
                <w:noProof/>
              </w:rPr>
            </w:pPr>
            <w:r>
              <w:rPr>
                <w:noProof/>
              </w:rPr>
              <w:t xml:space="preserve">Date de naissance : </w:t>
            </w:r>
          </w:p>
          <w:p w:rsidR="009D77CA" w:rsidRDefault="009D77CA">
            <w:pPr>
              <w:rPr>
                <w:noProof/>
              </w:rPr>
            </w:pPr>
          </w:p>
        </w:tc>
      </w:tr>
      <w:tr w:rsidR="009D77CA">
        <w:trPr>
          <w:trHeight w:val="344"/>
        </w:trPr>
        <w:tc>
          <w:tcPr>
            <w:tcW w:w="9062" w:type="dxa"/>
            <w:gridSpan w:val="2"/>
          </w:tcPr>
          <w:p w:rsidR="009D77CA" w:rsidRDefault="00000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Date de la prescription : </w:t>
            </w:r>
          </w:p>
          <w:p w:rsidR="009D77CA" w:rsidRDefault="009D77CA">
            <w:pPr>
              <w:rPr>
                <w:b/>
                <w:bCs/>
                <w:noProof/>
              </w:rPr>
            </w:pPr>
          </w:p>
        </w:tc>
      </w:tr>
      <w:tr w:rsidR="009D77CA">
        <w:tc>
          <w:tcPr>
            <w:tcW w:w="9062" w:type="dxa"/>
            <w:gridSpan w:val="2"/>
          </w:tcPr>
          <w:p w:rsidR="009D77CA" w:rsidRDefault="00000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Indication à un antibiogramme ciblé :</w:t>
            </w:r>
          </w:p>
          <w:p w:rsidR="009D77CA" w:rsidRDefault="00000000">
            <w:pPr>
              <w:pStyle w:val="Paragraphedeliste"/>
              <w:numPr>
                <w:ilvl w:val="2"/>
                <w:numId w:val="2"/>
              </w:numPr>
              <w:ind w:left="589" w:hanging="283"/>
            </w:pPr>
            <w:r>
              <w:t>Femme et jeune fille &gt; 12 ans hors Grossesse </w:t>
            </w:r>
          </w:p>
          <w:p w:rsidR="009D77CA" w:rsidRDefault="009D77CA">
            <w:pPr>
              <w:pStyle w:val="Paragraphedeliste"/>
              <w:ind w:left="589"/>
            </w:pPr>
          </w:p>
          <w:p w:rsidR="009D77CA" w:rsidRDefault="00000000">
            <w:pPr>
              <w:rPr>
                <w:i/>
              </w:rPr>
            </w:pPr>
            <w:proofErr w:type="gramStart"/>
            <w:r>
              <w:rPr>
                <w:i/>
              </w:rPr>
              <w:t>si</w:t>
            </w:r>
            <w:proofErr w:type="gramEnd"/>
            <w:r>
              <w:rPr>
                <w:i/>
              </w:rPr>
              <w:t xml:space="preserve"> enceinte : pas d’antibiogramme ciblé</w:t>
            </w:r>
          </w:p>
          <w:p w:rsidR="009D77CA" w:rsidRDefault="00000000">
            <w:pPr>
              <w:rPr>
                <w:i/>
              </w:rPr>
            </w:pPr>
            <w:proofErr w:type="gramStart"/>
            <w:r>
              <w:rPr>
                <w:i/>
              </w:rPr>
              <w:t>si</w:t>
            </w:r>
            <w:proofErr w:type="gramEnd"/>
            <w:r>
              <w:rPr>
                <w:i/>
              </w:rPr>
              <w:t xml:space="preserve"> homme : pas d’antibiogramme ciblé</w:t>
            </w:r>
          </w:p>
          <w:p w:rsidR="009D77CA" w:rsidRDefault="009D77CA">
            <w:pPr>
              <w:ind w:left="306"/>
              <w:rPr>
                <w:b/>
                <w:bCs/>
                <w:noProof/>
              </w:rPr>
            </w:pPr>
          </w:p>
        </w:tc>
      </w:tr>
      <w:tr w:rsidR="009D77CA">
        <w:tc>
          <w:tcPr>
            <w:tcW w:w="9062" w:type="dxa"/>
            <w:gridSpan w:val="2"/>
          </w:tcPr>
          <w:p w:rsidR="009D77CA" w:rsidRDefault="00000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Diagnostic suspecté: </w:t>
            </w:r>
          </w:p>
          <w:p w:rsidR="009D77CA" w:rsidRDefault="00000000">
            <w:pPr>
              <w:ind w:left="22"/>
              <w:rPr>
                <w:i/>
                <w:iCs/>
                <w:noProof/>
                <w:color w:val="000000" w:themeColor="text1"/>
              </w:rPr>
            </w:pPr>
            <w:r>
              <w:rPr>
                <w:noProof/>
              </w:rPr>
              <w:sym w:font="Wingdings 2" w:char="F0A3"/>
            </w:r>
            <w:r>
              <w:rPr>
                <w:noProof/>
              </w:rPr>
              <w:t xml:space="preserve"> cystite (</w:t>
            </w:r>
            <w:r>
              <w:rPr>
                <w:i/>
                <w:iCs/>
                <w:noProof/>
              </w:rPr>
              <w:t xml:space="preserve">L’ECBU n’est pas indiqué en cas de cystite </w:t>
            </w:r>
            <w:r>
              <w:rPr>
                <w:i/>
                <w:iCs/>
                <w:noProof/>
                <w:color w:val="000000" w:themeColor="text1"/>
              </w:rPr>
              <w:t xml:space="preserve">simple mais seulement si récidivante ou FdR </w:t>
            </w:r>
          </w:p>
          <w:p w:rsidR="009D77CA" w:rsidRDefault="00000000">
            <w:pPr>
              <w:ind w:left="1156"/>
              <w:rPr>
                <w:i/>
                <w:iCs/>
                <w:noProof/>
                <w:color w:val="000000" w:themeColor="text1"/>
              </w:rPr>
            </w:pPr>
            <w:r>
              <w:rPr>
                <w:i/>
                <w:iCs/>
                <w:noProof/>
                <w:color w:val="000000" w:themeColor="text1"/>
              </w:rPr>
              <w:t>de complication*)</w:t>
            </w:r>
          </w:p>
          <w:p w:rsidR="009D77CA" w:rsidRDefault="009D77CA">
            <w:pPr>
              <w:rPr>
                <w:noProof/>
              </w:rPr>
            </w:pPr>
          </w:p>
          <w:p w:rsidR="009D77CA" w:rsidRDefault="00000000">
            <w:pPr>
              <w:rPr>
                <w:noProof/>
              </w:rPr>
            </w:pPr>
            <w:r>
              <w:rPr>
                <w:noProof/>
              </w:rPr>
              <w:sym w:font="Wingdings 2" w:char="F0A3"/>
            </w:r>
            <w:r>
              <w:rPr>
                <w:noProof/>
              </w:rPr>
              <w:t xml:space="preserve"> pyélonéphrite aigüe </w:t>
            </w:r>
          </w:p>
          <w:p w:rsidR="009D77CA" w:rsidRDefault="009D77CA">
            <w:pPr>
              <w:rPr>
                <w:noProof/>
              </w:rPr>
            </w:pPr>
          </w:p>
          <w:p w:rsidR="009D77CA" w:rsidRDefault="00000000">
            <w:pPr>
              <w:rPr>
                <w:noProof/>
              </w:rPr>
            </w:pPr>
            <w:r>
              <w:rPr>
                <w:noProof/>
              </w:rPr>
              <w:sym w:font="Wingdings 2" w:char="F0A3"/>
            </w:r>
            <w:r>
              <w:rPr>
                <w:noProof/>
              </w:rPr>
              <w:t xml:space="preserve"> autre :</w:t>
            </w:r>
          </w:p>
          <w:p w:rsidR="009D77CA" w:rsidRDefault="009D77CA">
            <w:pPr>
              <w:rPr>
                <w:noProof/>
              </w:rPr>
            </w:pPr>
          </w:p>
          <w:p w:rsidR="009D77CA" w:rsidRDefault="00000000">
            <w:pPr>
              <w:rPr>
                <w:b/>
                <w:noProof/>
              </w:rPr>
            </w:pPr>
            <w:r>
              <w:rPr>
                <w:b/>
                <w:noProof/>
              </w:rPr>
              <w:t>Modalités de prélèvements :</w:t>
            </w:r>
          </w:p>
          <w:p w:rsidR="009D77CA" w:rsidRDefault="00000000">
            <w:r>
              <w:rPr>
                <w:noProof/>
              </w:rPr>
              <w:sym w:font="Wingdings 2" w:char="F0A3"/>
            </w:r>
            <w:r>
              <w:rPr>
                <w:noProof/>
              </w:rPr>
              <w:t xml:space="preserve"> </w:t>
            </w:r>
            <w:proofErr w:type="gramStart"/>
            <w:r>
              <w:t>miction</w:t>
            </w:r>
            <w:proofErr w:type="gramEnd"/>
            <w:r>
              <w:t xml:space="preserve"> spontanée</w:t>
            </w:r>
          </w:p>
          <w:p w:rsidR="009D77CA" w:rsidRDefault="00000000">
            <w:r>
              <w:rPr>
                <w:noProof/>
              </w:rPr>
              <w:sym w:font="Wingdings 2" w:char="F0A3"/>
            </w:r>
            <w:r>
              <w:rPr>
                <w:noProof/>
              </w:rPr>
              <w:t xml:space="preserve"> </w:t>
            </w:r>
            <w:r>
              <w:t xml:space="preserve">SAD </w:t>
            </w:r>
          </w:p>
          <w:p w:rsidR="009D77CA" w:rsidRDefault="00000000">
            <w:r>
              <w:rPr>
                <w:noProof/>
              </w:rPr>
              <w:sym w:font="Wingdings 2" w:char="F0A3"/>
            </w:r>
            <w:r>
              <w:rPr>
                <w:noProof/>
              </w:rPr>
              <w:t xml:space="preserve"> </w:t>
            </w:r>
            <w:r>
              <w:t xml:space="preserve">JJ </w:t>
            </w:r>
          </w:p>
          <w:p w:rsidR="009D77CA" w:rsidRDefault="00000000">
            <w:pPr>
              <w:rPr>
                <w:noProof/>
              </w:rPr>
            </w:pPr>
            <w:r>
              <w:rPr>
                <w:noProof/>
              </w:rPr>
              <w:sym w:font="Wingdings 2" w:char="F0A3"/>
            </w:r>
            <w:r>
              <w:rPr>
                <w:noProof/>
              </w:rPr>
              <w:t xml:space="preserve"> </w:t>
            </w:r>
            <w:proofErr w:type="spellStart"/>
            <w:proofErr w:type="gramStart"/>
            <w:r>
              <w:t>nephrostomie</w:t>
            </w:r>
            <w:proofErr w:type="spellEnd"/>
            <w:proofErr w:type="gramEnd"/>
          </w:p>
          <w:p w:rsidR="009D77CA" w:rsidRDefault="00000000">
            <w:pPr>
              <w:rPr>
                <w:noProof/>
              </w:rPr>
            </w:pPr>
            <w:r>
              <w:rPr>
                <w:noProof/>
              </w:rPr>
              <w:sym w:font="Wingdings 2" w:char="F0A3"/>
            </w:r>
            <w:r>
              <w:rPr>
                <w:noProof/>
              </w:rPr>
              <w:t xml:space="preserve"> </w:t>
            </w:r>
            <w:r>
              <w:t>Bricker/ KT sus pubien</w:t>
            </w:r>
          </w:p>
          <w:p w:rsidR="009D77CA" w:rsidRDefault="00000000">
            <w:r>
              <w:rPr>
                <w:noProof/>
              </w:rPr>
              <w:sym w:font="Wingdings 2" w:char="F0A3"/>
            </w:r>
            <w:r>
              <w:t xml:space="preserve"> Sondage Aller/retour</w:t>
            </w:r>
          </w:p>
          <w:p w:rsidR="009D77CA" w:rsidRDefault="009D77CA">
            <w:pPr>
              <w:rPr>
                <w:noProof/>
              </w:rPr>
            </w:pPr>
          </w:p>
          <w:p w:rsidR="009D77CA" w:rsidRDefault="00000000">
            <w:pPr>
              <w:rPr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 xml:space="preserve">   </w:t>
            </w:r>
          </w:p>
          <w:p w:rsidR="009D77CA" w:rsidRDefault="009D77CA">
            <w:pPr>
              <w:rPr>
                <w:noProof/>
              </w:rPr>
            </w:pPr>
          </w:p>
          <w:p w:rsidR="009D77CA" w:rsidRDefault="009D77CA">
            <w:pPr>
              <w:rPr>
                <w:b/>
                <w:bCs/>
                <w:noProof/>
              </w:rPr>
            </w:pPr>
          </w:p>
          <w:p w:rsidR="009D77CA" w:rsidRDefault="009D77CA">
            <w:pPr>
              <w:rPr>
                <w:b/>
                <w:bCs/>
                <w:noProof/>
              </w:rPr>
            </w:pPr>
          </w:p>
        </w:tc>
      </w:tr>
      <w:tr w:rsidR="009D77CA">
        <w:tc>
          <w:tcPr>
            <w:tcW w:w="9062" w:type="dxa"/>
            <w:gridSpan w:val="2"/>
          </w:tcPr>
          <w:p w:rsidR="009D77C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Pour rappel : </w:t>
            </w:r>
          </w:p>
          <w:p w:rsidR="009D77CA" w:rsidRDefault="00000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*FACTEURS DE RISQUE DE COMPLICATION : </w:t>
            </w:r>
            <w:r>
              <w:rPr>
                <w:noProof/>
                <w:sz w:val="18"/>
                <w:szCs w:val="18"/>
              </w:rPr>
              <w:t>grossesse, anomalie de l’arbre urinaire, insuffisance rénale sévère (DFG &lt; 30 ml/min), immunodépression grave, âge &gt; 75 ans ou &gt; 65 ans avec au moins 3 critères de Fried (</w:t>
            </w:r>
            <w:r>
              <w:rPr>
                <w:i/>
                <w:iCs/>
                <w:noProof/>
                <w:sz w:val="18"/>
                <w:szCs w:val="18"/>
              </w:rPr>
              <w:t>perte de poids involontaire au cours de la dernière année, vitesse de marche lente, faible endurance, faiblesse/fatigue, activité physique réduite). Le diabète, type 1 ou 2, n’est pas un facteur de risque de complication</w:t>
            </w:r>
          </w:p>
        </w:tc>
      </w:tr>
    </w:tbl>
    <w:p w:rsidR="009D77CA" w:rsidRDefault="009D77CA"/>
    <w:sectPr w:rsidR="009D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63DD"/>
    <w:multiLevelType w:val="hybridMultilevel"/>
    <w:tmpl w:val="91F25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08D7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17F0"/>
    <w:multiLevelType w:val="hybridMultilevel"/>
    <w:tmpl w:val="25D83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461F1"/>
    <w:multiLevelType w:val="hybridMultilevel"/>
    <w:tmpl w:val="FA8670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732434">
    <w:abstractNumId w:val="2"/>
  </w:num>
  <w:num w:numId="2" w16cid:durableId="353074425">
    <w:abstractNumId w:val="0"/>
  </w:num>
  <w:num w:numId="3" w16cid:durableId="89608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CA"/>
    <w:rsid w:val="006C4224"/>
    <w:rsid w:val="009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9AA37-37D5-4C45-B171-0301C7F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Grenoble Alpes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Baudino, Fanny</dc:creator>
  <cp:keywords/>
  <dc:description/>
  <cp:lastModifiedBy>Thibault Sixt</cp:lastModifiedBy>
  <cp:revision>10</cp:revision>
  <dcterms:created xsi:type="dcterms:W3CDTF">2024-11-18T17:04:00Z</dcterms:created>
  <dcterms:modified xsi:type="dcterms:W3CDTF">2025-06-22T13:08:00Z</dcterms:modified>
</cp:coreProperties>
</file>